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431</w:t>
      </w:r>
    </w:p>
    <w:p>
      <w:r>
        <w:t>Bundesgericht (BGE), 1993-12-17, DE</w:t>
      </w:r>
    </w:p>
    <w:p>
      <w:r>
        <w:rPr>
          <w:b/>
        </w:rPr>
        <w:t xml:space="preserve">Quelle: </w:t>
      </w:r>
      <w:r>
        <w:t>https://mcp.opencaselaw.ch/entscheid/bge_119 V 431</w:t>
      </w:r>
    </w:p>
    <w:p>
      <w:r>
        <w:t>FR: ATF 119 V 431</w:t>
      </w:r>
    </w:p>
    <w:p>
      <w:r>
        <w:t>IT: DTF 119 V 431</w:t>
      </w:r>
    </w:p>
    <w:p>
      <w:pPr>
        <w:pStyle w:val="Heading2"/>
      </w:pPr>
      <w:r>
        <w:t>Regeste</w:t>
      </w:r>
    </w:p>
    <w:p>
      <w:r>
        <w:t>Regeste Art. 47 Abs. 2 AHVG, Art. 85 Abs. 2 und Art. 88bis Abs. 2 lit. b IVV: Rückerstattungspflicht. Im Bereich der Invalidenversicherung erfolgt die Leistungsanpassung aus IV-spezifischen Gesichtspunkten grundsätzlich mit Wirkung ex nunc; liegt dagegen eine Meldepflichtverletzung vor, so geschieht die Leistungsanpassung auch insofern rückwirkend (Erw. 2). Art. 47 Abs. 2 Satz 1 AHVG in Verbindung mit Art. 49 IVG: Verwirkung des Rückforderungsanspruchs. Als Folge der Verpflichtung, einen Vorbescheid zu erlassen, wird im Invalidenversicherungsrecht die einjährige Verwirkungsfrist durch den Erlass eines Vorbescheides im Sinne von Art. 73bis IVV gewahrt (Erw. 3b; Änderung der Rechtsprechung). Art. 47 Abs. 2 AHVG, Art. 85 Abs. 2 und Art. 88bis Abs. 2 lit. b IVV: Dauer der Rückerstattungspflicht. Die Rückerstattungspflicht entfällt in der Regel ab dem der verspäteten Meldung folgenden Monat (Erw. 4).</w:t>
      </w:r>
    </w:p>
    <w:p>
      <w:pPr>
        <w:pStyle w:val="Heading2"/>
      </w:pPr>
      <w:r>
        <w:t>Erwägungen</w:t>
      </w:r>
    </w:p>
    <w:p>
      <w:r>
        <w:rPr>
          <w:b/>
        </w:rPr>
        <w:t>E. 2</w:t>
      </w:r>
    </w:p>
    <w:p>
      <w:r>
        <w:t>Nach Art. 47 Abs. 1 Satz 1 AHVG sind unrechtmässig bezogene Leistungen (Renten- und Hilflosenentschädigungen) zurückzuerstatten. AHV-rechtlich erfolgt somit die Leistungsanpassung grundsätzlich rückwirkend (ex tunc). Art. 49 IVG erklärt diese Gesetzesbestimmung im Bereich der Invalidenversicherung für sinngemäss anwendbar. Daneben kennt das Invalidenversicherungsrecht selber Bestimmungen, welche eine Leistungsanpassung grundsätzlich bloss mit Wirkung ex nunc et pro futuro vorsehen ( Art. 85 Abs. 2 IVV ). Eine Ausnahme besteht dann, wenn der Tatbestand der Verletzung der Meldepflicht gemäss Art. 77 IVV erfüllt ist; in einem solchen Fall geschieht die Leistungsanpassung ebenfalls rückwirkend ( Art. 85 Abs. 2 und Art. 88bis Abs. 2 lit. b IVV ) mit der Folge, dass zuviel bezogene Leistungen zurückzuerstatten sind. Es stellte sich daher für die Rechtsprechung die Frage, wie die beiden Gruppen von Rückerstattungsnormen im Bereich der Invalidenversicherung miteinander in Einklang zu bringen sind. Das Wort "sinngemäss" in Art. 49 IVG bot die Grundlage, die Einteilung in AHV-analoge und IV-spezifische Gesichtspunkte vorzunehmen ( BGE 105 V 163 , bestätigt in BGE 110 V 14 Erw. 2a, BGE 107 V 81 Erw. 4b und 37 Erw. 2a): Bezüglich der ersten erfolgt eine rückwirkende Leistungsanpassung (z.B. fehlende Versicherteneigenschaft, falsche Rentenberechnung usw.); bezüglich der zweiten gilt der Grundsatz der Leistungsanpassung mit Wirkung ex nunc (alle Tatsachenänderungen, die im Bereich des Invaliditätsgrades von Bedeutung sind), vorbehältlich der eben erwähnten Meldepflichtverletzung. Vorliegend geht es um einen IV-spezifischen Leistungsgesichtspunkt. Eine rückwirkende Rentenherabsetzung kommt daher nur in Frage, wenn der Beschwerdeführer seiner Meldepflicht nicht nachgekommen ist ( Art. 77 IVV in Verbindung mit Art. 88bis Abs. 2 lit. b IVV ). Dieser Tatbestand ist in casu erfüllt, was in der Verwaltungsgerichtsbeschwerde, im Unterschied zum vorinstanzlichen Verfahren, zu Recht nicht mehr bestritten wird.</w:t>
      </w:r>
    </w:p>
    <w:p>
      <w:r>
        <w:rPr>
          <w:b/>
        </w:rPr>
        <w:t>E. 3</w:t>
      </w:r>
    </w:p>
    <w:p>
      <w:r>
        <w:t>Der Beschwerdeführer lässt indes geltend machen, der Rückforderungsanspruch sei verjährt. BGE 119 V 431 S. 433 a) Nach Art. 47 Abs. 2 Satz 1 AHVG (im Gebiet der Invalidenversicherung gestützt auf Art. 49 IVG ebenfalls sinngemäss anwendbar) verjährt der Rückforderungsanspruch mit dem Ablauf eines Jahres, nachdem die Ausgleichskasse davon Kenntnis erhalten hat, spätestens aber mit dem Ablauf von fünf Jahren seit der einzelnen Rentenzahlung. Bei diesen Fristen handelt es sich um Verwirkungsfristen ( BGE 112 V 181 Erw. 4a, BGE 111 V 135 ; ZAK 1989 S. 559 Erw. 4b). Unter dem Ausdruck "nachdem die Ausgleichskasse davon Kenntnis erhalten hat" ist der Zeitpunkt zu verstehen, in welchem die Verwaltung bei Beachtung der ihr zumutbaren Aufmerksamkeit hätte erkennen müssen, dass die Voraussetzungen für eine Rückerstattung bestehen ( BGE 112 V 181 Erw. 4a, BGE 110 V 307 ; ZAK 1989 S. 559 Erw. 4b). Ist für die Leistungsfestsetzung das Zusammenwirken mehrerer Behörden notwendig, genügt es, dass die nach der Rechtsprechung erforderliche Kenntnis bei einer der zuständigen Verwaltungsstellen vorhanden ist ( BGE 112 V 183 Erw. 4c). b) Im vorliegenden Fall ist mit dem Beschwerdeführer davon auszugehen, dass sich die Invalidenversicherungs-Kommission bei Erhalt des Fragebogens für Arbeitgeber vom 7. August 1991, welcher bei ihr am 8. August 1991 einging, Rechenschaft über das Vorliegen eines Rückerstattungstatbestandes geben musste. Dass die Verwaltung über die nach der Rechtsprechung erforderliche Kenntnis auch tatsächlich verfügte, dokumentierte sie durch den Vorbescheid vom 19. September 1991; darin teilte sie dem Beschwerdeführer mit, Abklärungen hätten ergeben, dass er seit 1. Dezember 1990 als Sachbearbeiter angestellt sei. Da er diese Arbeitsaufnahme nicht gemeldet habe, müsse ihm eine Verletzung der Meldepflicht angelastet werden, weshalb die zu Unrecht bezogenen Leistungen zurückzuerstatten seien (Vorbescheid vom 19. September 1991). Die Invalidenversicherungs-Kommission hatte demnach im damaligen Zeitpunkt erkannt, dass mit dem seit Dezember 1990 ununterbrochen bezogenen, am 8. August 1991 gemeldeten Teilzeiteinkommen von Fr. 2'350.-- die Grundlagen, auf welchen die ursprüngliche Rentenverfügung vom 30. April 1990 fusste, dahingefallen waren. Aus medizinischer Sicht bestand in bezug auf diese für die Beurteilung des Invaliditätsgrades letztlich massgebenden erwerblichen Gesichtspunkte kein Abklärungsbedarf, nachdem keine Anhaltspunkte dafür vorlagen, dass der Beschwerdeführer mit der Arbeitsaufnahme und -ausübung gesundheitlich überfordert gewesen wäre. Hatte die Invalidenversicherungs-Kommission somit am 8. August 1991 die nach BGE 119 V 431 S. 434 der Rechtsprechung erforderliche Kenntnis über den unrechtmässigen Leistungsbezug und stellt man für die Fristwahrung auf den Zeitpunkt des Erlasses der Verwaltungsverfügung ab, so ist die am 30. Dezember 1992 ergangene Rückerstattungsverfügung klarerweise verspätet, der Rückerstattungsanspruch daher verwirkt. Dass die Rente zwischenzeitlich weiterlief, ändert hieran nichts (unveröffentlichtes Urteil H. vom 19. Oktober 1992). c) Dieses Ergebnis beruht auf der bisherigen Rechtsprechung zu Art. 47 AHVG , welche, wie im Bereich der Verwirkung der Beiträge ( Art. 16 AHVG ) und des Schadenersatzanspruches der Ausgleichskasse gegenüber dem Arbeitgeber ( Art. 52 AHVG ), davon ausgeht, dass die (einjährige) Verwirkungsfrist ausschliesslich durch den Erlass einer Verfügung gewahrt werden kann ( BGE 119 V 95 Erw. 4c). Diese Betrachtungsweise, wonach die Verwirkungsfrist einzig und allein durch den Verfügungserlass gewahrt werden kann, darf auf den vorliegenden rechtlichen Kontext nicht angewendet werden. Bis zur Einführung des invalidenversicherungsrechtlichen Vorbescheidverfahrens am 1. Juli 1987 durch Art. 73bis IVV erliessen die Ausgleichskassen in solchen Fällen direkt eine Rückerstattungsverfügung. Damit war die einjährige Verwirkungsfrist gewahrt. Einwände, wie sie der Beschwerdeführer hier gegen den Vorbescheid vortrug und die das Verfahren verlängern konnten, waren früher Prüfungsthema eines allfälligen Beschwerdeverfahrens gegen die fristwahrende Verfügung. Wenn nun die Verwaltung durch das geltende Recht - aus Gründen der Entlastung der Verwaltungsrechtspflegeorgane, vor allem aber auch aus rechtsstaatlichen Überlegungen (Gewährung des rechtlichen Gehörs) - zum Erlass eines Vorbescheides verpflichtet wird, muss diesem, fristenrechtlich gesehen, die gleiche Wirkung zugemessen werden wie der Verfügung selber (vgl. auch RKUV 1990 Nr. 835 S. 83 Erw. 2b, gemäss welchem im Bereich des KUVG ein formloser Kassenbescheid für die Fristwahrung bereits genügt). Folglich ist der Rückerstattungsanspruch der Ausgleichskasse nicht verwirkt, weil mit dem Vorbescheid vom 19. September 1991 die seit 8. August 1991 laufende einjährige Verwirkungsfrist ohne weiteres gewahrt worden ist.</w:t>
      </w:r>
    </w:p>
    <w:p>
      <w:r>
        <w:rPr>
          <w:b/>
        </w:rPr>
        <w:t>E. 4</w:t>
      </w:r>
    </w:p>
    <w:p>
      <w:r>
        <w:t>a) Dieses Ergebnis führt nicht dazu, dass der Beschwerdeführer die zu Unrecht bezogenen Leistungen für die Zeit vom 1. Januar 1991 bis zum 31. Dezember 1992 zurückzuerstatten hat. Der vorinstanzliche Entscheid steht nämlich nicht im Einklang mit der durch das Urteil vom 10. Juni 1992 ( BGE 118 V 214 ) geänderten Rechtsprechung zur Wirkung der Meldepflichtverletzung auf die BGE 119 V 431 S. 435 Rückerstattungspflicht. Das Gesetz statuiert in Art. 88bis Abs. 2 lit. b IVV klar das Erfordernis der Kausalität zwischen dem zu sanktionierenden Verhalten (Meldepflichtverletzung) und dem eingetretenen Schaden (unrechtmässiger Bezug von Versicherungsleistungen). Die bis zum Eintreffen einer verspäteten Meldung bezüglich Arbeitsaufnahme unrechtmässig bezogenen Rentenbetreffnisse unterliegen grundsätzlich der Rückerstattungspflicht. Nicht mehr rückerstattungspflichtig sind die nach Eingang der verspäteten Meldung bezogenen Renten ( BGE 118 V 220 f.). b) Auf den vorliegenden Fall angewendet bedeutet dies, dass die Rentenbetreffnisse mit Wirkung ab 1. September 1991 nicht zufolge Meldepflichtverletzung zurückverlangt werden können. Wie dargelegt, erhielt die Invalidenversicherungs-Kommission am 8. August 1991 den ordnungsgemäss ausgefüllten Fragebogen des Arbeitgebers zugestellt. Daraus geht der seit 1. Dezember 1990 bezogene Lohn, welcher gegenüber dem der Rentenverfügung vom 30. April 1990 zugrunde liegenden Lohn deutlich höher ist, klar hervor. Wenn sich die Verwaltung dazu entschloss, die bisherige Rente weiterhin auszurichten, so kann dies nicht mehr auf die Verletzung der Meldepflicht zurückgeführt werden, zumal die Ausgleichskasse nicht geltend macht, sie hätte auf die nachfolgenden Abklärungen verzichtet, wenn der Arbeitsantritt bereits im Dezember 1990 gemeldet worden wäre. Damit entfällt eine Rückerstattungspflicht ab 1. September 1991, d.h. ab dem der verspäteten Meldung folgenden Monat (vgl. BGE 118 V 219 Erw. 2b und 221 Erw. 2b). Hingegen bleibt die Meldepflichtverletzung kausal für den unrechtmässigen Leistungsbezug für die Zeit von Januar bis und mit August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